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A2" w:rsidRPr="005403E5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«БОГДАНОВСКОЕ»</w:t>
      </w:r>
    </w:p>
    <w:p w:rsidR="00DC65A2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184" w:rsidRPr="005403E5" w:rsidRDefault="00AF3184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5A2" w:rsidRPr="00AF3184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318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C65A2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184" w:rsidRPr="005403E5" w:rsidRDefault="00AF3184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5A2" w:rsidRPr="00AF3184" w:rsidRDefault="005E058F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декабря</w:t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 w:rsidRPr="00AF318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 w:rsidRP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DC65A2" w:rsidRPr="00AF31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DC65A2" w:rsidRPr="00DC65A2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65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65A2">
        <w:rPr>
          <w:rFonts w:ascii="Times New Roman" w:eastAsia="Times New Roman" w:hAnsi="Times New Roman" w:cs="Times New Roman"/>
          <w:sz w:val="28"/>
          <w:szCs w:val="28"/>
        </w:rPr>
        <w:t>. Богдановка</w:t>
      </w:r>
    </w:p>
    <w:p w:rsidR="00DC65A2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184" w:rsidRPr="005403E5" w:rsidRDefault="00AF3184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5A2" w:rsidRPr="005403E5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 Совета от 02.03.2021 № 2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перечн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 Администрации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«Богдановское» муниципального района «Город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Краснокаменск и Краснокаменский район» Забайкальского края,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составлять протоколы об административных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правонарушениях, предусмотренных Законом Забайкальского края от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02 июля 2009 года № 198-ЗЗК «Об административных</w:t>
      </w:r>
      <w:r w:rsidR="005403E5" w:rsidRPr="005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3E5">
        <w:rPr>
          <w:rFonts w:ascii="Times New Roman" w:eastAsia="Times New Roman" w:hAnsi="Times New Roman" w:cs="Times New Roman"/>
          <w:b/>
          <w:sz w:val="28"/>
          <w:szCs w:val="28"/>
        </w:rPr>
        <w:t>правонарушениях»</w:t>
      </w:r>
    </w:p>
    <w:p w:rsidR="00DC65A2" w:rsidRPr="00DC65A2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5A2" w:rsidRPr="00DC65A2" w:rsidRDefault="00AF3184" w:rsidP="00AF3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Руководствуясь законами Забайкальского края от 02.07.2022 г. № 2089-</w:t>
      </w:r>
    </w:p>
    <w:p w:rsidR="00DC65A2" w:rsidRPr="00DC65A2" w:rsidRDefault="00DC65A2" w:rsidP="00AF3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65A2">
        <w:rPr>
          <w:rFonts w:ascii="Times New Roman" w:eastAsia="Times New Roman" w:hAnsi="Times New Roman" w:cs="Times New Roman"/>
          <w:sz w:val="28"/>
          <w:szCs w:val="28"/>
        </w:rPr>
        <w:t>ЗЗК «О внесении изменений в Закон Забайкальского края «Об</w:t>
      </w:r>
      <w:r w:rsidR="00AF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A2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правонарушениях» и статью 1 Закона Забайкальского края от 04.05.2010 г. № 366-ЗЗК «О наделении органов местного самоуправления городских и сельских поселений, муниципальных районов и</w:t>
      </w:r>
      <w:r w:rsidR="00C4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A2">
        <w:rPr>
          <w:rFonts w:ascii="Times New Roman" w:eastAsia="Times New Roman" w:hAnsi="Times New Roman" w:cs="Times New Roman"/>
          <w:sz w:val="28"/>
          <w:szCs w:val="28"/>
        </w:rPr>
        <w:t>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</w:t>
      </w:r>
      <w:proofErr w:type="gramEnd"/>
      <w:r w:rsidRPr="00DC65A2">
        <w:rPr>
          <w:rFonts w:ascii="Times New Roman" w:eastAsia="Times New Roman" w:hAnsi="Times New Roman" w:cs="Times New Roman"/>
          <w:sz w:val="28"/>
          <w:szCs w:val="28"/>
        </w:rPr>
        <w:t xml:space="preserve"> поселения «Богдановское», Совет  сельского поселения «Богдановское»,</w:t>
      </w:r>
    </w:p>
    <w:p w:rsidR="00DC65A2" w:rsidRPr="00DC65A2" w:rsidRDefault="00DC65A2" w:rsidP="00AF3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65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C65A2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DC65A2" w:rsidRDefault="00AF3184" w:rsidP="00AF3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C65A2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«Богдановское»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02.03. </w:t>
      </w:r>
      <w:r w:rsidRPr="00DC65A2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«Об утверждении 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сельского поселения «Богдановское» муниципального района «Город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Краснокаменск и Краснокаменский район» Забайкальского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правонарушениях, предусмотренных Законом Забайкальского края от 02 июля 2009 года № 198-ЗЗК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3184" w:rsidRPr="00A07D4A" w:rsidRDefault="00AF3184" w:rsidP="00AF3184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A07D4A">
        <w:rPr>
          <w:rFonts w:ascii="Times New Roman" w:hAnsi="Times New Roman" w:cs="Times New Roman"/>
          <w:sz w:val="28"/>
        </w:rPr>
        <w:t xml:space="preserve">риложение </w:t>
      </w:r>
      <w:r>
        <w:rPr>
          <w:rFonts w:ascii="Times New Roman" w:hAnsi="Times New Roman" w:cs="Times New Roman"/>
          <w:sz w:val="28"/>
        </w:rPr>
        <w:t>к решению</w:t>
      </w:r>
      <w:r w:rsidRPr="00A07D4A">
        <w:rPr>
          <w:rFonts w:ascii="Times New Roman" w:hAnsi="Times New Roman" w:cs="Times New Roman"/>
          <w:sz w:val="28"/>
        </w:rPr>
        <w:t xml:space="preserve"> изложить в новой редакции (прилагается)</w:t>
      </w:r>
      <w:r>
        <w:rPr>
          <w:rFonts w:ascii="Times New Roman" w:hAnsi="Times New Roman" w:cs="Times New Roman"/>
          <w:sz w:val="28"/>
        </w:rPr>
        <w:t>.</w:t>
      </w:r>
    </w:p>
    <w:p w:rsidR="00DC65A2" w:rsidRPr="00DC65A2" w:rsidRDefault="00AF3184" w:rsidP="00AF3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 w:rsidRPr="00DC65A2">
        <w:rPr>
          <w:rFonts w:ascii="Times New Roman" w:eastAsia="Times New Roman" w:hAnsi="Times New Roman" w:cs="Times New Roman"/>
          <w:sz w:val="28"/>
          <w:szCs w:val="28"/>
        </w:rPr>
        <w:t>порядке, установленном Уставом сел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поселения «Богдановское».</w:t>
      </w:r>
    </w:p>
    <w:p w:rsidR="00DC65A2" w:rsidRDefault="00DC65A2" w:rsidP="00AF3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BE" w:rsidRDefault="006B2ABE" w:rsidP="00DC6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58F" w:rsidRDefault="005E058F" w:rsidP="00DC6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5A2" w:rsidRPr="00DC65A2" w:rsidRDefault="00DC65A2" w:rsidP="00DC6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5A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r w:rsidR="00AF318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C65A2">
        <w:rPr>
          <w:rFonts w:ascii="Times New Roman" w:eastAsia="Times New Roman" w:hAnsi="Times New Roman" w:cs="Times New Roman"/>
          <w:sz w:val="28"/>
          <w:szCs w:val="28"/>
        </w:rPr>
        <w:t>Т.И.Федурина</w:t>
      </w:r>
      <w:proofErr w:type="spellEnd"/>
      <w:r w:rsidRPr="00DC6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BAA" w:rsidRDefault="00A07BAA" w:rsidP="00A07BAA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«Богдановское»,</w:t>
      </w: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марта 2021 года № 2</w:t>
      </w:r>
    </w:p>
    <w:p w:rsidR="007C61A3" w:rsidRDefault="007C61A3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1A3" w:rsidRDefault="007C61A3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редакции от </w:t>
      </w:r>
      <w:r w:rsidR="005E058F">
        <w:rPr>
          <w:rFonts w:ascii="Times New Roman" w:eastAsia="Times New Roman" w:hAnsi="Times New Roman" w:cs="Times New Roman"/>
          <w:sz w:val="24"/>
          <w:szCs w:val="24"/>
        </w:rPr>
        <w:t>06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2022г. № </w:t>
      </w:r>
      <w:r w:rsidR="005E058F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«Богдановское»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уполномоченных составлять протоколы об административных </w:t>
      </w:r>
      <w:r w:rsidR="007C6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равонарушениях, предусмотренных Законом Забайкальского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края</w:t>
      </w:r>
    </w:p>
    <w:p w:rsidR="00A07BAA" w:rsidRPr="007C61A3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5" w:history="1">
        <w:r w:rsidRPr="007C61A3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от 02 июля 2009 года № 198-ЗЗК</w:t>
        </w:r>
      </w:hyperlink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административных правонарушениях»</w:t>
      </w: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A07BAA" w:rsidTr="00A217C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 </w:t>
            </w:r>
            <w:hyperlink r:id="rId6" w:history="1">
              <w:r w:rsidRPr="007C61A3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02 июля 2009 года № 198-ЗЗК</w:t>
              </w:r>
            </w:hyperlink>
            <w:r w:rsidRPr="007C6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A07BAA" w:rsidTr="00A217C7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Статья 5.5.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BAA" w:rsidTr="00A217C7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A07BAA" w:rsidTr="00A217C7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Нарушение покоя граждан и тишины</w:t>
            </w:r>
          </w:p>
        </w:tc>
      </w:tr>
      <w:tr w:rsidR="00A07BAA" w:rsidTr="00A217C7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Семейно-бытовое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дебоширство</w:t>
            </w:r>
            <w:proofErr w:type="gramEnd"/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BAA" w:rsidTr="00A217C7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A07BAA" w:rsidTr="00A217C7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5E05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15.1.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A07BAA" w:rsidTr="00A217C7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Допущение незаконного потребления наркотических средств и (или) психотропных веществ, новых потенциально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или одурманивающих веществ </w:t>
            </w:r>
          </w:p>
        </w:tc>
      </w:tr>
      <w:tr w:rsidR="00A07BAA" w:rsidTr="00A217C7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Статья 17.2.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Допущение пропаганды и (или) незаконной рекламы наркотических средств и (или) психотропных веществ, новых потенциально опасных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веществ</w:t>
            </w:r>
          </w:p>
        </w:tc>
      </w:tr>
      <w:tr w:rsidR="00A07BAA" w:rsidTr="00A217C7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Статья 17.2.2.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ограничения розничной продажи товаров, содержащих сжиженный углеводородный газ, для личных и бытовых нужд граждан</w:t>
            </w:r>
          </w:p>
          <w:p w:rsidR="00A07BAA" w:rsidRDefault="00A07BAA" w:rsidP="00A21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BAA" w:rsidRDefault="00A07BAA" w:rsidP="00A21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редакции решения от 19.10.2022 № 6)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BAA" w:rsidTr="00A217C7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17.4.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Нарушение требований эксплуатации аттракционов</w:t>
            </w:r>
          </w:p>
        </w:tc>
      </w:tr>
      <w:tr w:rsidR="00A07BAA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Pr="007C61A3" w:rsidRDefault="00A07BAA" w:rsidP="007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Статья 18. </w:t>
            </w:r>
            <w:r w:rsidR="007C61A3" w:rsidRPr="007C61A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</w:t>
            </w:r>
          </w:p>
          <w:p w:rsidR="00A07BAA" w:rsidRDefault="007C61A3" w:rsidP="007C61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C61A3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1A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муниципальных образований</w:t>
            </w:r>
          </w:p>
        </w:tc>
      </w:tr>
      <w:tr w:rsidR="007C61A3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A3" w:rsidRDefault="007C61A3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18(2).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содержанию и внешнему виду</w:t>
            </w:r>
          </w:p>
          <w:p w:rsidR="007C61A3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7C61A3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A3" w:rsidRDefault="007C61A3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содержанию элементов</w:t>
            </w:r>
          </w:p>
          <w:p w:rsidR="007C61A3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 сетей и коммуникаций</w:t>
            </w:r>
          </w:p>
        </w:tc>
      </w:tr>
      <w:tr w:rsidR="007C61A3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A3" w:rsidRDefault="007C61A3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18(4).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при проведении земляных,</w:t>
            </w:r>
          </w:p>
          <w:p w:rsidR="007C61A3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ремонтных, строительных работ</w:t>
            </w:r>
          </w:p>
        </w:tc>
      </w:tr>
      <w:tr w:rsidR="007C61A3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A3" w:rsidRDefault="007C61A3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18(5)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организации озеленения</w:t>
            </w:r>
          </w:p>
          <w:p w:rsidR="007C61A3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</w:tc>
      </w:tr>
      <w:tr w:rsidR="007C61A3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A3" w:rsidRDefault="007C61A3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18(6).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размещению информационных</w:t>
            </w:r>
          </w:p>
          <w:p w:rsidR="007C61A3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 и некапитальных объектов на территории общего пользования</w:t>
            </w:r>
          </w:p>
        </w:tc>
      </w:tr>
      <w:tr w:rsidR="007C61A3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A3" w:rsidRDefault="007C61A3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A3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18(7)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внешнему виду и содержанию</w:t>
            </w:r>
          </w:p>
          <w:p w:rsidR="007C61A3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ограждений</w:t>
            </w:r>
          </w:p>
        </w:tc>
      </w:tr>
      <w:tr w:rsidR="006B2ABE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BE" w:rsidRDefault="006B2ABE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18(8)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запрета на размещение транспортных средств</w:t>
            </w:r>
          </w:p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озелененных территориях общего пользования, детских, игровых и</w:t>
            </w:r>
          </w:p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 </w:t>
            </w:r>
            <w:proofErr w:type="gramStart"/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</w:p>
        </w:tc>
      </w:tr>
      <w:tr w:rsidR="006B2ABE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BE" w:rsidRDefault="006B2ABE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18(9).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содержанию рекламных и</w:t>
            </w:r>
          </w:p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конструкций</w:t>
            </w:r>
          </w:p>
        </w:tc>
      </w:tr>
      <w:tr w:rsidR="006B2ABE" w:rsidTr="00A217C7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BE" w:rsidRDefault="006B2ABE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Default="006B2ABE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18(10).</w:t>
            </w: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требований к внешнему виду фасадов зданий,</w:t>
            </w:r>
          </w:p>
          <w:p w:rsidR="006B2ABE" w:rsidRPr="006B2ABE" w:rsidRDefault="006B2ABE" w:rsidP="006B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объектов благоустройства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A07BAA" w:rsidTr="00A217C7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Подтопление улиц, зданий, сооружений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A07BAA" w:rsidTr="00A217C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36.2.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A07BAA" w:rsidTr="00A217C7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41.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Безбилетный проезд пассажиров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42.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Провоз ручной клади и перевозка багажа без оплаты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7BAA" w:rsidTr="00A217C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Нарушение правил организации транспортного обслуживания населения</w:t>
            </w:r>
          </w:p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7BAA" w:rsidTr="00A217C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Статья 44.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Нарушение маршрута перевозок и расписания движения транспорта общего пользования (за нарушения установленного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46.2.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46.3.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A07BAA" w:rsidTr="00A217C7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A" w:rsidRDefault="00A07BAA" w:rsidP="00A217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A" w:rsidRDefault="00A07BAA" w:rsidP="00A217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BAA" w:rsidRDefault="00A07BAA" w:rsidP="00A07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7BAA" w:rsidSect="00AE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2534"/>
    <w:multiLevelType w:val="multilevel"/>
    <w:tmpl w:val="02A8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A524A"/>
    <w:multiLevelType w:val="multilevel"/>
    <w:tmpl w:val="49A826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B42E71"/>
    <w:multiLevelType w:val="multilevel"/>
    <w:tmpl w:val="E3E0B3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E47EBB"/>
    <w:multiLevelType w:val="multilevel"/>
    <w:tmpl w:val="29A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4B6BE3"/>
    <w:multiLevelType w:val="multilevel"/>
    <w:tmpl w:val="7AF45064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DFE"/>
    <w:rsid w:val="000115CF"/>
    <w:rsid w:val="00027A9C"/>
    <w:rsid w:val="00066672"/>
    <w:rsid w:val="005403E5"/>
    <w:rsid w:val="005679CF"/>
    <w:rsid w:val="00571DFE"/>
    <w:rsid w:val="005E058F"/>
    <w:rsid w:val="00682DC1"/>
    <w:rsid w:val="006B2ABE"/>
    <w:rsid w:val="007C61A3"/>
    <w:rsid w:val="00A07BAA"/>
    <w:rsid w:val="00AE14F4"/>
    <w:rsid w:val="00AF3184"/>
    <w:rsid w:val="00AF62AF"/>
    <w:rsid w:val="00B57C48"/>
    <w:rsid w:val="00C44909"/>
    <w:rsid w:val="00C56A80"/>
    <w:rsid w:val="00DC65A2"/>
    <w:rsid w:val="00E0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DF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07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BAA"/>
    <w:pPr>
      <w:widowControl w:val="0"/>
      <w:shd w:val="clear" w:color="auto" w:fill="FFFFFF"/>
      <w:spacing w:before="28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07BA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BAA"/>
    <w:pPr>
      <w:widowControl w:val="0"/>
      <w:shd w:val="clear" w:color="auto" w:fill="FFFFFF"/>
      <w:spacing w:before="800" w:after="280" w:line="31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F3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2022-12-13T03:10:00Z</cp:lastPrinted>
  <dcterms:created xsi:type="dcterms:W3CDTF">2022-11-21T07:24:00Z</dcterms:created>
  <dcterms:modified xsi:type="dcterms:W3CDTF">2022-12-13T03:13:00Z</dcterms:modified>
</cp:coreProperties>
</file>