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94" w:rsidRDefault="00015C94" w:rsidP="00015C94">
      <w:pPr>
        <w:widowControl w:val="0"/>
        <w:tabs>
          <w:tab w:val="left" w:pos="3119"/>
        </w:tabs>
        <w:adjustRightInd w:val="0"/>
        <w:ind w:firstLine="720"/>
        <w:jc w:val="right"/>
        <w:rPr>
          <w:rFonts w:ascii="Times New Roman CYR" w:hAnsi="Times New Roman CYR" w:cs="Times New Roman CYR"/>
          <w:b/>
          <w:bCs/>
          <w:sz w:val="28"/>
          <w:szCs w:val="28"/>
        </w:rPr>
      </w:pPr>
      <w:r>
        <w:rPr>
          <w:rFonts w:ascii="Times New Roman CYR" w:hAnsi="Times New Roman CYR" w:cs="Times New Roman CYR"/>
          <w:b/>
          <w:bCs/>
          <w:sz w:val="28"/>
          <w:szCs w:val="28"/>
        </w:rPr>
        <w:t>ПРОЕКТ</w:t>
      </w:r>
    </w:p>
    <w:p w:rsidR="00426830" w:rsidRDefault="00426830" w:rsidP="00426830">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426830" w:rsidRDefault="00426830" w:rsidP="00426830">
      <w:pPr>
        <w:widowControl w:val="0"/>
        <w:adjustRightInd w:val="0"/>
        <w:ind w:firstLine="720"/>
        <w:jc w:val="center"/>
        <w:rPr>
          <w:rFonts w:ascii="Times New Roman CYR" w:hAnsi="Times New Roman CYR" w:cs="Times New Roman CYR"/>
          <w:b/>
          <w:bCs/>
          <w:sz w:val="28"/>
          <w:szCs w:val="28"/>
        </w:rPr>
      </w:pPr>
    </w:p>
    <w:p w:rsidR="00426830" w:rsidRDefault="00426830" w:rsidP="00426830">
      <w:pPr>
        <w:widowControl w:val="0"/>
        <w:adjustRightInd w:val="0"/>
        <w:ind w:firstLine="709"/>
        <w:jc w:val="center"/>
        <w:rPr>
          <w:rFonts w:ascii="Times New Roman CYR" w:hAnsi="Times New Roman CYR" w:cs="Times New Roman CYR"/>
          <w:sz w:val="28"/>
          <w:szCs w:val="28"/>
        </w:rPr>
      </w:pPr>
    </w:p>
    <w:p w:rsidR="00426830" w:rsidRDefault="00426830" w:rsidP="00426830">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426830" w:rsidRDefault="00426830" w:rsidP="00426830">
      <w:pPr>
        <w:widowControl w:val="0"/>
        <w:adjustRightInd w:val="0"/>
        <w:ind w:firstLine="720"/>
        <w:jc w:val="both"/>
        <w:rPr>
          <w:rFonts w:ascii="Times New Roman CYR" w:hAnsi="Times New Roman CYR" w:cs="Times New Roman CYR"/>
          <w:sz w:val="28"/>
          <w:szCs w:val="28"/>
        </w:rPr>
      </w:pPr>
    </w:p>
    <w:p w:rsidR="00426830" w:rsidRDefault="00426830" w:rsidP="00426830">
      <w:pPr>
        <w:widowControl w:val="0"/>
        <w:adjustRightInd w:val="0"/>
        <w:ind w:firstLine="720"/>
        <w:jc w:val="both"/>
        <w:rPr>
          <w:rFonts w:ascii="Times New Roman CYR" w:hAnsi="Times New Roman CYR" w:cs="Times New Roman CYR"/>
          <w:sz w:val="28"/>
          <w:szCs w:val="28"/>
        </w:rPr>
      </w:pPr>
    </w:p>
    <w:p w:rsidR="00426830" w:rsidRDefault="00426830" w:rsidP="00426830">
      <w:pPr>
        <w:widowControl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__ __________2017 года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__</w:t>
      </w:r>
    </w:p>
    <w:p w:rsidR="00426830" w:rsidRDefault="00426830" w:rsidP="00426830">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C124AE" w:rsidRDefault="00C124AE"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426830" w:rsidRPr="005E7BC4" w:rsidRDefault="00426830" w:rsidP="00C124AE">
      <w:pPr>
        <w:pStyle w:val="headertext"/>
        <w:shd w:val="clear" w:color="auto" w:fill="FFFFFF"/>
        <w:spacing w:before="0" w:beforeAutospacing="0" w:after="0" w:afterAutospacing="0" w:line="288" w:lineRule="atLeast"/>
        <w:jc w:val="center"/>
        <w:textAlignment w:val="baseline"/>
        <w:rPr>
          <w:b/>
          <w:color w:val="3C3C3C"/>
          <w:spacing w:val="2"/>
        </w:rPr>
      </w:pPr>
    </w:p>
    <w:p w:rsidR="00FE1D92" w:rsidRPr="00FE1D92" w:rsidRDefault="00FE1D92" w:rsidP="00FE1D92">
      <w:pPr>
        <w:jc w:val="center"/>
        <w:rPr>
          <w:sz w:val="28"/>
          <w:szCs w:val="28"/>
        </w:rPr>
      </w:pPr>
      <w:r w:rsidRPr="00FE1D92">
        <w:rPr>
          <w:sz w:val="28"/>
          <w:szCs w:val="28"/>
        </w:rPr>
        <w:t xml:space="preserve">Об утверждении </w:t>
      </w:r>
      <w:proofErr w:type="gramStart"/>
      <w:r w:rsidRPr="00FE1D92">
        <w:rPr>
          <w:sz w:val="28"/>
          <w:szCs w:val="28"/>
        </w:rPr>
        <w:t>Порядка согласования схемы движения транспорта</w:t>
      </w:r>
      <w:proofErr w:type="gramEnd"/>
      <w:r w:rsidRPr="00FE1D92">
        <w:rPr>
          <w:sz w:val="28"/>
          <w:szCs w:val="28"/>
        </w:rPr>
        <w:t xml:space="preserve"> и пешеходов на период проведения работ на проезжей части  </w:t>
      </w:r>
    </w:p>
    <w:p w:rsidR="00C124AE" w:rsidRPr="00FE1D92" w:rsidRDefault="00C124AE" w:rsidP="00C124AE">
      <w:pPr>
        <w:pStyle w:val="headertext"/>
        <w:shd w:val="clear" w:color="auto" w:fill="FFFFFF"/>
        <w:spacing w:before="0" w:beforeAutospacing="0" w:after="0" w:afterAutospacing="0" w:line="288" w:lineRule="atLeast"/>
        <w:jc w:val="both"/>
        <w:textAlignment w:val="baseline"/>
        <w:rPr>
          <w:spacing w:val="2"/>
          <w:sz w:val="28"/>
          <w:szCs w:val="28"/>
        </w:rPr>
      </w:pPr>
      <w:r w:rsidRPr="00FE1D92">
        <w:rPr>
          <w:spacing w:val="2"/>
          <w:sz w:val="28"/>
          <w:szCs w:val="28"/>
        </w:rPr>
        <w:t>на территории сельского поселения «</w:t>
      </w:r>
      <w:proofErr w:type="spellStart"/>
      <w:r w:rsidR="00426830">
        <w:rPr>
          <w:spacing w:val="2"/>
          <w:sz w:val="28"/>
          <w:szCs w:val="28"/>
        </w:rPr>
        <w:t>Богдановское</w:t>
      </w:r>
      <w:proofErr w:type="spellEnd"/>
      <w:r w:rsidR="00426830">
        <w:rPr>
          <w:spacing w:val="2"/>
          <w:sz w:val="28"/>
          <w:szCs w:val="28"/>
        </w:rPr>
        <w:t>»</w:t>
      </w:r>
      <w:r w:rsidRPr="00FE1D92">
        <w:rPr>
          <w:spacing w:val="2"/>
          <w:sz w:val="28"/>
          <w:szCs w:val="28"/>
        </w:rPr>
        <w:t xml:space="preserve"> муниципального района «Город </w:t>
      </w:r>
      <w:proofErr w:type="spellStart"/>
      <w:r w:rsidRPr="00FE1D92">
        <w:rPr>
          <w:spacing w:val="2"/>
          <w:sz w:val="28"/>
          <w:szCs w:val="28"/>
        </w:rPr>
        <w:t>Краснокаменск</w:t>
      </w:r>
      <w:proofErr w:type="spellEnd"/>
      <w:r w:rsidRPr="00FE1D92">
        <w:rPr>
          <w:spacing w:val="2"/>
          <w:sz w:val="28"/>
          <w:szCs w:val="28"/>
        </w:rPr>
        <w:t xml:space="preserve"> и </w:t>
      </w:r>
      <w:proofErr w:type="spellStart"/>
      <w:r w:rsidRPr="00FE1D92">
        <w:rPr>
          <w:spacing w:val="2"/>
          <w:sz w:val="28"/>
          <w:szCs w:val="28"/>
        </w:rPr>
        <w:t>Краснокаменский</w:t>
      </w:r>
      <w:proofErr w:type="spellEnd"/>
      <w:r w:rsidRPr="00FE1D92">
        <w:rPr>
          <w:spacing w:val="2"/>
          <w:sz w:val="28"/>
          <w:szCs w:val="28"/>
        </w:rPr>
        <w:t xml:space="preserve">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 xml:space="preserve">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Pr="00582C9D">
        <w:rPr>
          <w:sz w:val="28"/>
          <w:szCs w:val="28"/>
        </w:rPr>
        <w:t>муниципального района</w:t>
      </w:r>
      <w:proofErr w:type="gramEnd"/>
      <w:r w:rsidRPr="00582C9D">
        <w:rPr>
          <w:sz w:val="28"/>
          <w:szCs w:val="28"/>
        </w:rPr>
        <w:t xml:space="preserve">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w:t>
      </w:r>
      <w:r>
        <w:rPr>
          <w:sz w:val="28"/>
          <w:szCs w:val="28"/>
        </w:rPr>
        <w:t xml:space="preserve">, </w:t>
      </w:r>
      <w:r w:rsidRPr="00582C9D">
        <w:rPr>
          <w:sz w:val="28"/>
          <w:szCs w:val="28"/>
        </w:rPr>
        <w:t xml:space="preserve">Совет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 РЕШИЛ:</w:t>
      </w:r>
    </w:p>
    <w:p w:rsidR="00C124AE" w:rsidRPr="00C124AE" w:rsidRDefault="00C124AE" w:rsidP="001A66CD">
      <w:pPr>
        <w:jc w:val="both"/>
        <w:rPr>
          <w:b/>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 xml:space="preserve">на территории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1A66CD" w:rsidRPr="00FE1D92">
        <w:rPr>
          <w:spacing w:val="2"/>
          <w:sz w:val="28"/>
          <w:szCs w:val="28"/>
        </w:rPr>
        <w:t xml:space="preserve">муниципального района «Город </w:t>
      </w:r>
      <w:proofErr w:type="spellStart"/>
      <w:r w:rsidR="001A66CD" w:rsidRPr="00FE1D92">
        <w:rPr>
          <w:spacing w:val="2"/>
          <w:sz w:val="28"/>
          <w:szCs w:val="28"/>
        </w:rPr>
        <w:t>Краснокаменск</w:t>
      </w:r>
      <w:proofErr w:type="spellEnd"/>
      <w:r w:rsidR="001A66CD" w:rsidRPr="00FE1D92">
        <w:rPr>
          <w:spacing w:val="2"/>
          <w:sz w:val="28"/>
          <w:szCs w:val="28"/>
        </w:rPr>
        <w:t xml:space="preserve"> и </w:t>
      </w:r>
      <w:proofErr w:type="spellStart"/>
      <w:r w:rsidR="001A66CD" w:rsidRPr="00FE1D92">
        <w:rPr>
          <w:spacing w:val="2"/>
          <w:sz w:val="28"/>
          <w:szCs w:val="28"/>
        </w:rPr>
        <w:t>Краснокаменский</w:t>
      </w:r>
      <w:proofErr w:type="spellEnd"/>
      <w:r w:rsidR="001A66CD" w:rsidRPr="00FE1D92">
        <w:rPr>
          <w:spacing w:val="2"/>
          <w:sz w:val="28"/>
          <w:szCs w:val="28"/>
        </w:rPr>
        <w:t xml:space="preserve">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 – телекоммуникационной сети «Интернет»:</w:t>
      </w:r>
      <w:r w:rsidRPr="009C4019">
        <w:rPr>
          <w:sz w:val="28"/>
          <w:szCs w:val="28"/>
        </w:rPr>
        <w:t xml:space="preserve"> </w:t>
      </w:r>
      <w:r w:rsidRPr="00F51246">
        <w:rPr>
          <w:sz w:val="28"/>
          <w:szCs w:val="28"/>
          <w:lang w:val="en-US"/>
        </w:rPr>
        <w:t>www</w:t>
      </w:r>
      <w:r w:rsidRPr="00F51246">
        <w:rPr>
          <w:sz w:val="28"/>
          <w:szCs w:val="28"/>
        </w:rPr>
        <w:t>:</w:t>
      </w:r>
      <w:proofErr w:type="spellStart"/>
      <w:r w:rsidR="00015C94">
        <w:rPr>
          <w:sz w:val="28"/>
          <w:szCs w:val="28"/>
          <w:lang w:val="en-US"/>
        </w:rPr>
        <w:t>bogdsp</w:t>
      </w:r>
      <w:proofErr w:type="spellEnd"/>
      <w:r w:rsidR="00015C94" w:rsidRPr="00015C94">
        <w:rPr>
          <w:sz w:val="28"/>
          <w:szCs w:val="28"/>
        </w:rPr>
        <w:t>.</w:t>
      </w:r>
      <w:proofErr w:type="spellStart"/>
      <w:r w:rsidR="00015C94">
        <w:rPr>
          <w:sz w:val="28"/>
          <w:szCs w:val="28"/>
          <w:lang w:val="en-US"/>
        </w:rPr>
        <w:t>ru</w:t>
      </w:r>
      <w:proofErr w:type="spellEnd"/>
      <w:r>
        <w:rPr>
          <w:sz w:val="28"/>
          <w:szCs w:val="28"/>
        </w:rPr>
        <w:t xml:space="preserve"> 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426830" w:rsidRDefault="00426830" w:rsidP="00C124AE">
      <w:pPr>
        <w:ind w:right="98"/>
        <w:jc w:val="both"/>
        <w:rPr>
          <w:sz w:val="28"/>
          <w:szCs w:val="28"/>
        </w:rPr>
      </w:pPr>
    </w:p>
    <w:p w:rsidR="00426830" w:rsidRDefault="00426830" w:rsidP="00C124AE">
      <w:pPr>
        <w:ind w:right="98"/>
        <w:jc w:val="both"/>
        <w:rPr>
          <w:sz w:val="28"/>
          <w:szCs w:val="28"/>
        </w:rPr>
      </w:pPr>
    </w:p>
    <w:p w:rsidR="00C124AE" w:rsidRDefault="00C124AE"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Pr>
          <w:spacing w:val="2"/>
          <w:sz w:val="28"/>
          <w:szCs w:val="28"/>
        </w:rPr>
        <w:tab/>
      </w:r>
      <w:r w:rsidR="00426830">
        <w:rPr>
          <w:spacing w:val="2"/>
          <w:sz w:val="28"/>
          <w:szCs w:val="28"/>
        </w:rPr>
        <w:tab/>
      </w:r>
      <w:r w:rsidR="00426830">
        <w:rPr>
          <w:spacing w:val="2"/>
          <w:sz w:val="28"/>
          <w:szCs w:val="28"/>
        </w:rPr>
        <w:tab/>
      </w:r>
      <w:r w:rsidR="00426830">
        <w:rPr>
          <w:spacing w:val="2"/>
          <w:sz w:val="28"/>
          <w:szCs w:val="28"/>
        </w:rPr>
        <w:tab/>
        <w:t>В.И.Ефремов</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426830" w:rsidP="00C124AE">
      <w:pPr>
        <w:pStyle w:val="a5"/>
        <w:spacing w:before="0" w:beforeAutospacing="0" w:after="0" w:afterAutospacing="0"/>
        <w:jc w:val="right"/>
        <w:rPr>
          <w:sz w:val="28"/>
          <w:szCs w:val="28"/>
        </w:rPr>
      </w:pPr>
      <w:r w:rsidRPr="00FE1D92">
        <w:rPr>
          <w:spacing w:val="2"/>
          <w:sz w:val="28"/>
          <w:szCs w:val="28"/>
        </w:rPr>
        <w:t>«</w:t>
      </w:r>
      <w:proofErr w:type="spellStart"/>
      <w:r>
        <w:rPr>
          <w:spacing w:val="2"/>
          <w:sz w:val="28"/>
          <w:szCs w:val="28"/>
        </w:rPr>
        <w:t>Богдановское</w:t>
      </w:r>
      <w:proofErr w:type="spellEnd"/>
      <w:r>
        <w:rPr>
          <w:spacing w:val="2"/>
          <w:sz w:val="28"/>
          <w:szCs w:val="28"/>
        </w:rPr>
        <w:t>»</w:t>
      </w:r>
      <w:r w:rsidRPr="00FE1D92">
        <w:rPr>
          <w:spacing w:val="2"/>
          <w:sz w:val="28"/>
          <w:szCs w:val="28"/>
        </w:rPr>
        <w:t xml:space="preserve"> </w:t>
      </w:r>
      <w:r w:rsidR="00C124AE" w:rsidRPr="00582C9D">
        <w:rPr>
          <w:sz w:val="28"/>
          <w:szCs w:val="28"/>
        </w:rPr>
        <w:t>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br/>
        <w:t xml:space="preserve"> от  </w:t>
      </w:r>
      <w:r>
        <w:rPr>
          <w:color w:val="3C3C3C"/>
          <w:sz w:val="28"/>
          <w:szCs w:val="28"/>
        </w:rPr>
        <w:t>______</w:t>
      </w:r>
      <w:r w:rsidRPr="00582C9D">
        <w:rPr>
          <w:color w:val="3C3C3C"/>
          <w:sz w:val="28"/>
          <w:szCs w:val="28"/>
        </w:rPr>
        <w:t>.201</w:t>
      </w:r>
      <w:r>
        <w:rPr>
          <w:color w:val="3C3C3C"/>
          <w:sz w:val="28"/>
          <w:szCs w:val="28"/>
        </w:rPr>
        <w:t>7</w:t>
      </w:r>
      <w:r w:rsidRPr="00582C9D">
        <w:rPr>
          <w:color w:val="3C3C3C"/>
          <w:sz w:val="28"/>
          <w:szCs w:val="28"/>
        </w:rPr>
        <w:t xml:space="preserve"> г. № </w:t>
      </w:r>
      <w:r>
        <w:rPr>
          <w:color w:val="3C3C3C"/>
          <w:sz w:val="28"/>
          <w:szCs w:val="28"/>
        </w:rPr>
        <w:t>_____</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426830" w:rsidRDefault="00654361" w:rsidP="001A66CD">
      <w:pPr>
        <w:jc w:val="center"/>
        <w:rPr>
          <w:b/>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w:t>
      </w:r>
    </w:p>
    <w:p w:rsidR="001A66CD" w:rsidRPr="001A66CD" w:rsidRDefault="001A66CD" w:rsidP="001A66CD">
      <w:pPr>
        <w:jc w:val="center"/>
        <w:rPr>
          <w:b/>
          <w:sz w:val="28"/>
          <w:szCs w:val="28"/>
        </w:rPr>
      </w:pPr>
      <w:r>
        <w:rPr>
          <w:b/>
          <w:sz w:val="28"/>
          <w:szCs w:val="28"/>
        </w:rPr>
        <w:t xml:space="preserve">на </w:t>
      </w:r>
      <w:r w:rsidRPr="001A66CD">
        <w:rPr>
          <w:b/>
          <w:sz w:val="28"/>
          <w:szCs w:val="28"/>
        </w:rPr>
        <w:t>период проведения работ на проезжей части</w:t>
      </w:r>
    </w:p>
    <w:p w:rsidR="00B85389" w:rsidRDefault="001A66C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 xml:space="preserve">на территории сельского поселения </w:t>
      </w:r>
      <w:r w:rsidR="00426830" w:rsidRPr="00426830">
        <w:rPr>
          <w:b/>
          <w:spacing w:val="2"/>
          <w:sz w:val="28"/>
          <w:szCs w:val="28"/>
        </w:rPr>
        <w:t>«</w:t>
      </w:r>
      <w:proofErr w:type="spellStart"/>
      <w:r w:rsidR="00426830" w:rsidRPr="00426830">
        <w:rPr>
          <w:b/>
          <w:spacing w:val="2"/>
          <w:sz w:val="28"/>
          <w:szCs w:val="28"/>
        </w:rPr>
        <w:t>Богдановское</w:t>
      </w:r>
      <w:proofErr w:type="spellEnd"/>
      <w:r w:rsidR="00426830" w:rsidRPr="00426830">
        <w:rPr>
          <w:b/>
          <w:spacing w:val="2"/>
          <w:sz w:val="28"/>
          <w:szCs w:val="28"/>
        </w:rPr>
        <w:t>»</w:t>
      </w:r>
      <w:r w:rsidR="00426830" w:rsidRPr="00FE1D92">
        <w:rPr>
          <w:spacing w:val="2"/>
          <w:sz w:val="28"/>
          <w:szCs w:val="28"/>
        </w:rPr>
        <w:t xml:space="preserve"> </w:t>
      </w:r>
      <w:r w:rsidRPr="001A66CD">
        <w:rPr>
          <w:b/>
          <w:spacing w:val="2"/>
          <w:sz w:val="28"/>
          <w:szCs w:val="28"/>
        </w:rPr>
        <w:t xml:space="preserve">муниципального района «Город </w:t>
      </w:r>
      <w:proofErr w:type="spellStart"/>
      <w:r w:rsidRPr="001A66CD">
        <w:rPr>
          <w:b/>
          <w:spacing w:val="2"/>
          <w:sz w:val="28"/>
          <w:szCs w:val="28"/>
        </w:rPr>
        <w:t>Краснокаменск</w:t>
      </w:r>
      <w:proofErr w:type="spellEnd"/>
      <w:r w:rsidRPr="001A66CD">
        <w:rPr>
          <w:b/>
          <w:spacing w:val="2"/>
          <w:sz w:val="28"/>
          <w:szCs w:val="28"/>
        </w:rPr>
        <w:t xml:space="preserve"> и </w:t>
      </w:r>
      <w:proofErr w:type="spellStart"/>
      <w:r w:rsidRPr="001A66CD">
        <w:rPr>
          <w:b/>
          <w:spacing w:val="2"/>
          <w:sz w:val="28"/>
          <w:szCs w:val="28"/>
        </w:rPr>
        <w:t>Краснокаменский</w:t>
      </w:r>
      <w:proofErr w:type="spellEnd"/>
      <w:r w:rsidRPr="001A66CD">
        <w:rPr>
          <w:b/>
          <w:spacing w:val="2"/>
          <w:sz w:val="28"/>
          <w:szCs w:val="28"/>
        </w:rPr>
        <w:t xml:space="preserve">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1A66CD" w:rsidRDefault="001A66CD" w:rsidP="00A8055D">
      <w:pPr>
        <w:shd w:val="clear" w:color="auto" w:fill="FFFFFF"/>
        <w:jc w:val="both"/>
        <w:textAlignment w:val="baseline"/>
        <w:rPr>
          <w:sz w:val="28"/>
          <w:szCs w:val="28"/>
        </w:rPr>
      </w:pPr>
      <w:r w:rsidRPr="00B75FB0">
        <w:rPr>
          <w:sz w:val="28"/>
          <w:szCs w:val="28"/>
        </w:rPr>
        <w:t>1.1.</w:t>
      </w:r>
      <w:r w:rsidRPr="00B75FB0">
        <w:rPr>
          <w:sz w:val="28"/>
          <w:szCs w:val="28"/>
        </w:rPr>
        <w:tab/>
      </w:r>
      <w:proofErr w:type="gramStart"/>
      <w:r w:rsidR="00A8055D">
        <w:rPr>
          <w:sz w:val="28"/>
          <w:szCs w:val="28"/>
        </w:rPr>
        <w:t xml:space="preserve">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A8055D">
        <w:rPr>
          <w:sz w:val="28"/>
          <w:szCs w:val="28"/>
        </w:rPr>
        <w:t xml:space="preserve">муниципального района «Город </w:t>
      </w:r>
      <w:proofErr w:type="spellStart"/>
      <w:r w:rsidR="00A8055D">
        <w:rPr>
          <w:sz w:val="28"/>
          <w:szCs w:val="28"/>
        </w:rPr>
        <w:t>Краснокаменск</w:t>
      </w:r>
      <w:proofErr w:type="spellEnd"/>
      <w:r w:rsidR="00A8055D">
        <w:rPr>
          <w:sz w:val="28"/>
          <w:szCs w:val="28"/>
        </w:rPr>
        <w:t xml:space="preserve"> и </w:t>
      </w:r>
      <w:proofErr w:type="spellStart"/>
      <w:r w:rsidR="00A8055D">
        <w:rPr>
          <w:sz w:val="28"/>
          <w:szCs w:val="28"/>
        </w:rPr>
        <w:t>Краснокаменский</w:t>
      </w:r>
      <w:proofErr w:type="spellEnd"/>
      <w:r w:rsidR="00A8055D">
        <w:rPr>
          <w:sz w:val="28"/>
          <w:szCs w:val="28"/>
        </w:rPr>
        <w:t xml:space="preserve">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 xml:space="preserve">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sidR="00027B14">
        <w:rPr>
          <w:sz w:val="28"/>
          <w:szCs w:val="28"/>
        </w:rPr>
        <w:t xml:space="preserve">муниципального района «Город </w:t>
      </w:r>
      <w:proofErr w:type="spellStart"/>
      <w:r w:rsidR="00027B14">
        <w:rPr>
          <w:sz w:val="28"/>
          <w:szCs w:val="28"/>
        </w:rPr>
        <w:t>Краснокаменск</w:t>
      </w:r>
      <w:proofErr w:type="spellEnd"/>
      <w:r w:rsidR="00027B14">
        <w:rPr>
          <w:sz w:val="28"/>
          <w:szCs w:val="28"/>
        </w:rPr>
        <w:t xml:space="preserve"> и </w:t>
      </w:r>
      <w:proofErr w:type="spellStart"/>
      <w:r w:rsidR="00027B14">
        <w:rPr>
          <w:sz w:val="28"/>
          <w:szCs w:val="28"/>
        </w:rPr>
        <w:t>Краснокаменский</w:t>
      </w:r>
      <w:proofErr w:type="spellEnd"/>
      <w:r w:rsidR="00027B14">
        <w:rPr>
          <w:sz w:val="28"/>
          <w:szCs w:val="28"/>
        </w:rPr>
        <w:t xml:space="preserve"> район» Забайкальского края</w:t>
      </w:r>
      <w:proofErr w:type="gramEnd"/>
      <w:r w:rsidR="00027B14">
        <w:rPr>
          <w:sz w:val="28"/>
          <w:szCs w:val="28"/>
        </w:rPr>
        <w:t xml:space="preserve">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lastRenderedPageBreak/>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A8055D">
      <w:pPr>
        <w:shd w:val="clear" w:color="auto" w:fill="FFFFFF"/>
        <w:jc w:val="both"/>
        <w:textAlignment w:val="baseline"/>
        <w:rPr>
          <w:sz w:val="28"/>
          <w:szCs w:val="28"/>
        </w:rPr>
      </w:pPr>
      <w:r>
        <w:rPr>
          <w:sz w:val="28"/>
          <w:szCs w:val="28"/>
        </w:rPr>
        <w:t xml:space="preserve">2.1. Согласование схемы осуществляется администрацией сельского поселения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D94860" w:rsidRDefault="00D94860"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D94860" w:rsidRDefault="00D94860" w:rsidP="00D94860">
      <w:pPr>
        <w:shd w:val="clear" w:color="auto" w:fill="FFFFFF"/>
        <w:jc w:val="both"/>
        <w:textAlignment w:val="baseline"/>
        <w:rPr>
          <w:sz w:val="28"/>
          <w:szCs w:val="28"/>
        </w:rPr>
      </w:pPr>
      <w:proofErr w:type="gramStart"/>
      <w:r>
        <w:rPr>
          <w:sz w:val="28"/>
          <w:szCs w:val="28"/>
        </w:rPr>
        <w:t xml:space="preserve">- схему движения транспорта и пешеходов на период проведения работ на проезжей части в сельском поселении </w:t>
      </w:r>
      <w:r w:rsidR="00426830" w:rsidRPr="00FE1D92">
        <w:rPr>
          <w:spacing w:val="2"/>
          <w:sz w:val="28"/>
          <w:szCs w:val="28"/>
        </w:rPr>
        <w:t>«</w:t>
      </w:r>
      <w:proofErr w:type="spellStart"/>
      <w:r w:rsidR="00426830">
        <w:rPr>
          <w:spacing w:val="2"/>
          <w:sz w:val="28"/>
          <w:szCs w:val="28"/>
        </w:rPr>
        <w:t>Богдановское</w:t>
      </w:r>
      <w:proofErr w:type="spellEnd"/>
      <w:r w:rsidR="00426830">
        <w:rPr>
          <w:spacing w:val="2"/>
          <w:sz w:val="28"/>
          <w:szCs w:val="28"/>
        </w:rPr>
        <w:t>»</w:t>
      </w:r>
      <w:r w:rsidR="00426830" w:rsidRPr="00FE1D92">
        <w:rPr>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w:t>
      </w:r>
      <w:r>
        <w:rPr>
          <w:sz w:val="28"/>
          <w:szCs w:val="28"/>
        </w:rPr>
        <w:lastRenderedPageBreak/>
        <w:t>с организациями, осуществляющими эксплуатацию объекта, в составе которого находится проезжая часть.</w:t>
      </w:r>
      <w:proofErr w:type="gramEnd"/>
    </w:p>
    <w:p w:rsidR="00D94860" w:rsidRDefault="00D94860" w:rsidP="00D94860">
      <w:pPr>
        <w:shd w:val="clear" w:color="auto" w:fill="FFFFFF"/>
        <w:jc w:val="both"/>
        <w:textAlignment w:val="baseline"/>
        <w:rPr>
          <w:sz w:val="28"/>
          <w:szCs w:val="28"/>
        </w:rPr>
      </w:pPr>
    </w:p>
    <w:p w:rsidR="00D94860" w:rsidRDefault="00D94860" w:rsidP="00D94860">
      <w:pPr>
        <w:shd w:val="clear" w:color="auto" w:fill="FFFFFF"/>
        <w:jc w:val="both"/>
        <w:textAlignment w:val="baseline"/>
        <w:rPr>
          <w:sz w:val="28"/>
          <w:szCs w:val="28"/>
        </w:rPr>
      </w:pPr>
      <w:r>
        <w:rPr>
          <w:sz w:val="28"/>
          <w:szCs w:val="28"/>
        </w:rPr>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lastRenderedPageBreak/>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lastRenderedPageBreak/>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015C94">
      <w:pPr>
        <w:pBdr>
          <w:bottom w:val="single" w:sz="12" w:space="13" w:color="auto"/>
        </w:pBdr>
        <w:shd w:val="clear" w:color="auto" w:fill="FFFFFF"/>
        <w:jc w:val="both"/>
        <w:textAlignment w:val="baseline"/>
        <w:rPr>
          <w:sz w:val="28"/>
          <w:szCs w:val="28"/>
        </w:rPr>
      </w:pPr>
      <w:r>
        <w:rPr>
          <w:sz w:val="28"/>
          <w:szCs w:val="28"/>
        </w:rPr>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15C94"/>
    <w:rsid w:val="00027B14"/>
    <w:rsid w:val="000326F9"/>
    <w:rsid w:val="00051827"/>
    <w:rsid w:val="00091D1B"/>
    <w:rsid w:val="00132E47"/>
    <w:rsid w:val="00191AD0"/>
    <w:rsid w:val="001A66CD"/>
    <w:rsid w:val="002D6792"/>
    <w:rsid w:val="003674E8"/>
    <w:rsid w:val="00374BA7"/>
    <w:rsid w:val="003F5B06"/>
    <w:rsid w:val="004026D7"/>
    <w:rsid w:val="00426830"/>
    <w:rsid w:val="0043733C"/>
    <w:rsid w:val="00501627"/>
    <w:rsid w:val="00586ED2"/>
    <w:rsid w:val="00593B7A"/>
    <w:rsid w:val="005F3335"/>
    <w:rsid w:val="00654361"/>
    <w:rsid w:val="0065566D"/>
    <w:rsid w:val="00767ABA"/>
    <w:rsid w:val="007F59DB"/>
    <w:rsid w:val="00890902"/>
    <w:rsid w:val="00954B13"/>
    <w:rsid w:val="00A8055D"/>
    <w:rsid w:val="00B612CE"/>
    <w:rsid w:val="00B85389"/>
    <w:rsid w:val="00B96A57"/>
    <w:rsid w:val="00C124AE"/>
    <w:rsid w:val="00C22C7D"/>
    <w:rsid w:val="00C31871"/>
    <w:rsid w:val="00C53271"/>
    <w:rsid w:val="00CE47DF"/>
    <w:rsid w:val="00D709A5"/>
    <w:rsid w:val="00D855D9"/>
    <w:rsid w:val="00D94860"/>
    <w:rsid w:val="00DA54D1"/>
    <w:rsid w:val="00DB3C04"/>
    <w:rsid w:val="00E2102B"/>
    <w:rsid w:val="00E47521"/>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12240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домашний</cp:lastModifiedBy>
  <cp:revision>6</cp:revision>
  <cp:lastPrinted>2017-04-12T04:41:00Z</cp:lastPrinted>
  <dcterms:created xsi:type="dcterms:W3CDTF">2017-04-18T06:59:00Z</dcterms:created>
  <dcterms:modified xsi:type="dcterms:W3CDTF">2017-04-22T09:04:00Z</dcterms:modified>
</cp:coreProperties>
</file>